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4C495" w14:textId="7AE96975" w:rsidR="00624D84" w:rsidRDefault="00624D84" w:rsidP="00624D84">
      <w:pPr>
        <w:pStyle w:val="CH"/>
      </w:pPr>
      <w:bookmarkStart w:id="0" w:name="historyclause"/>
      <w:r w:rsidRPr="00B070F5">
        <w:t>3GPP RAN WG</w:t>
      </w:r>
      <w:r>
        <w:t>4</w:t>
      </w:r>
      <w:r w:rsidRPr="00B070F5">
        <w:t xml:space="preserve"> Meeting #</w:t>
      </w:r>
      <w:r>
        <w:t>95e</w:t>
      </w:r>
      <w:r>
        <w:tab/>
      </w:r>
      <w:r>
        <w:tab/>
      </w:r>
      <w:r w:rsidR="001D27FD" w:rsidRPr="001D27FD">
        <w:t>R4-2006359</w:t>
      </w:r>
      <w:bookmarkStart w:id="1" w:name="_GoBack"/>
      <w:bookmarkEnd w:id="1"/>
    </w:p>
    <w:p w14:paraId="50DC9730" w14:textId="0AE662B9" w:rsidR="00D309CC" w:rsidRPr="00FD166F" w:rsidRDefault="00624D84" w:rsidP="00624D84">
      <w:pPr>
        <w:pStyle w:val="CH"/>
        <w:tabs>
          <w:tab w:val="clear" w:pos="7920"/>
        </w:tabs>
        <w:rPr>
          <w:b w:val="0"/>
        </w:rPr>
      </w:pPr>
      <w:r w:rsidRPr="00AD1007">
        <w:t>Electronic meeting, 25th May – 5th June 2020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1E1F6C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55548" w:rsidRPr="00F55548">
        <w:t>6.14.1.7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20F1653C" w:rsidR="00D309CC" w:rsidRDefault="00D309CC" w:rsidP="006C2531">
      <w:pPr>
        <w:pStyle w:val="CH"/>
        <w:ind w:left="2250" w:hanging="2250"/>
      </w:pPr>
      <w:r w:rsidRPr="0008103A">
        <w:t>Title:</w:t>
      </w:r>
      <w:r w:rsidRPr="0008103A">
        <w:tab/>
      </w:r>
      <w:r w:rsidR="006C2531" w:rsidRPr="006C2531">
        <w:t>Views on PC3 spherical coverage requirements in Rel-16 and beyond</w:t>
      </w:r>
    </w:p>
    <w:p w14:paraId="052B1E0C" w14:textId="56F8F71B" w:rsidR="00104BC6" w:rsidRDefault="00104BC6" w:rsidP="00D309CC">
      <w:pPr>
        <w:pStyle w:val="CH"/>
      </w:pPr>
      <w:r>
        <w:t>WI/SI:</w:t>
      </w:r>
      <w:r>
        <w:tab/>
      </w:r>
      <w:r w:rsidR="00B322A5" w:rsidRPr="00B322A5">
        <w:t>NR_RF_FR2_req_enh</w:t>
      </w:r>
      <w:r w:rsidR="00CD651B" w:rsidRPr="00752075">
        <w:t>-Core</w:t>
      </w:r>
    </w:p>
    <w:p w14:paraId="6C6D1281" w14:textId="536BF031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CD651B">
        <w:t>Rel-</w:t>
      </w:r>
      <w:r w:rsidR="00CD651B" w:rsidRPr="00CD651B">
        <w:t>16</w:t>
      </w:r>
    </w:p>
    <w:p w14:paraId="2E4E044D" w14:textId="05A2910C" w:rsidR="00D309CC" w:rsidRDefault="00D309CC" w:rsidP="00D309CC">
      <w:pPr>
        <w:pStyle w:val="CH"/>
      </w:pPr>
      <w:r>
        <w:t>Document for:</w:t>
      </w:r>
      <w:r>
        <w:tab/>
      </w:r>
      <w:r w:rsidR="006C2531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5C691477" w:rsidR="008E7986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0BAAFDB" w14:textId="5D73B0F5" w:rsidR="009E56A5" w:rsidRDefault="009E56A5" w:rsidP="00244940">
      <w:pPr>
        <w:rPr>
          <w:lang w:val="en-GB"/>
        </w:rPr>
      </w:pPr>
      <w:r>
        <w:rPr>
          <w:lang w:val="en-GB"/>
        </w:rPr>
        <w:t xml:space="preserve">The Rel-16 work item on FR2 RF enhancements contains the following study objective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_Ref32369735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A542A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300E061F" w14:textId="4165DE37" w:rsidR="009E56A5" w:rsidRPr="009E56A5" w:rsidRDefault="009E56A5" w:rsidP="009E56A5">
      <w:pPr>
        <w:ind w:left="284"/>
        <w:rPr>
          <w:i/>
          <w:lang w:val="en-GB"/>
        </w:rPr>
      </w:pPr>
      <w:r w:rsidRPr="009E56A5">
        <w:rPr>
          <w:i/>
        </w:rPr>
        <w:t>This work item will also study if FR2 UE spherical coverage requirements for PC3 for &gt;20%-tile can be defined</w:t>
      </w:r>
    </w:p>
    <w:p w14:paraId="290BB685" w14:textId="77777777" w:rsidR="009E56A5" w:rsidRDefault="009E56A5" w:rsidP="00244940">
      <w:pPr>
        <w:rPr>
          <w:lang w:val="en-GB"/>
        </w:rPr>
      </w:pPr>
    </w:p>
    <w:p w14:paraId="464305CD" w14:textId="70A70C63" w:rsidR="00244940" w:rsidRDefault="009E56A5" w:rsidP="00244940">
      <w:pPr>
        <w:rPr>
          <w:lang w:val="en-GB"/>
        </w:rPr>
      </w:pPr>
      <w:r>
        <w:rPr>
          <w:lang w:val="en-GB"/>
        </w:rPr>
        <w:t xml:space="preserve">During the RAN4 #93 meeting a way forward captured potential alternatives related to this objective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_Ref32369791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A542A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37A675D7" w14:textId="4B454749" w:rsidR="006D601F" w:rsidRDefault="006D601F" w:rsidP="0024494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D601F" w14:paraId="7CADE1F4" w14:textId="77777777" w:rsidTr="006D601F">
        <w:tc>
          <w:tcPr>
            <w:tcW w:w="9631" w:type="dxa"/>
          </w:tcPr>
          <w:p w14:paraId="0684AD4F" w14:textId="3E587042" w:rsidR="007600EF" w:rsidRPr="007600EF" w:rsidRDefault="007600EF" w:rsidP="00057920">
            <w:pPr>
              <w:rPr>
                <w:noProof/>
                <w:sz w:val="20"/>
                <w:szCs w:val="20"/>
                <w:lang w:val="en-GB" w:eastAsia="ja-JP"/>
              </w:rPr>
            </w:pPr>
            <w:r w:rsidRPr="007600EF">
              <w:rPr>
                <w:noProof/>
                <w:sz w:val="20"/>
                <w:szCs w:val="20"/>
                <w:lang w:val="en-GB" w:eastAsia="ja-JP"/>
              </w:rPr>
              <w:t>WF</w:t>
            </w:r>
          </w:p>
          <w:p w14:paraId="02E02F1B" w14:textId="2115772B" w:rsidR="007600EF" w:rsidRPr="007600EF" w:rsidRDefault="007600EF" w:rsidP="00057920">
            <w:pPr>
              <w:pStyle w:val="B1"/>
              <w:spacing w:after="0"/>
              <w:rPr>
                <w:sz w:val="20"/>
                <w:szCs w:val="20"/>
              </w:rPr>
            </w:pPr>
            <w:r w:rsidRPr="007600EF">
              <w:rPr>
                <w:sz w:val="20"/>
                <w:szCs w:val="20"/>
              </w:rPr>
              <w:t>-</w:t>
            </w:r>
            <w:r w:rsidRPr="007600EF">
              <w:rPr>
                <w:sz w:val="20"/>
                <w:szCs w:val="20"/>
              </w:rPr>
              <w:tab/>
              <w:t>Companies are encouraged to provide their feasibility studies in RAN4#94 for handheld UE</w:t>
            </w:r>
          </w:p>
          <w:p w14:paraId="6D7BE2FE" w14:textId="0BA6EB8E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>Possible enhancement 1: add a different %-tile for EIRP spherical coverage value, i.e., 11.5dBm for n257, n261, n258, and 8dBm for n260 or other lower EIRP spherical coverage value</w:t>
            </w:r>
          </w:p>
          <w:p w14:paraId="44C00F5B" w14:textId="1DA765C1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>Possible enhancement 2: increase current 50%-tile EIRP spherical coverage value by Y dB</w:t>
            </w:r>
          </w:p>
          <w:p w14:paraId="4308A077" w14:textId="77777777" w:rsidR="007600EF" w:rsidRPr="007600EF" w:rsidRDefault="007600EF" w:rsidP="00057920">
            <w:pPr>
              <w:pStyle w:val="B3"/>
              <w:spacing w:after="0"/>
            </w:pPr>
            <w:r w:rsidRPr="007600EF">
              <w:t>-</w:t>
            </w:r>
            <w:r w:rsidRPr="007600EF">
              <w:tab/>
              <w:t>Bands for feasible studies can be prioritized as n257, n261, n260, n258</w:t>
            </w:r>
          </w:p>
          <w:p w14:paraId="7F348352" w14:textId="3D00C4BB" w:rsidR="007600EF" w:rsidRPr="007600EF" w:rsidRDefault="007600EF" w:rsidP="00057920">
            <w:pPr>
              <w:pStyle w:val="B2"/>
              <w:spacing w:after="0"/>
            </w:pPr>
            <w:r w:rsidRPr="007600EF">
              <w:rPr>
                <w:noProof/>
                <w:lang w:eastAsia="ja-JP"/>
              </w:rPr>
              <w:t>* If needed, provide parameters related to UE form factor assumption to achieve enhancement of spherical coverage requirement</w:t>
            </w:r>
          </w:p>
          <w:p w14:paraId="23A1B4F9" w14:textId="6188090E" w:rsidR="007600EF" w:rsidRPr="007600EF" w:rsidRDefault="007600EF" w:rsidP="00057920">
            <w:pPr>
              <w:pStyle w:val="B1"/>
              <w:spacing w:after="0"/>
              <w:rPr>
                <w:noProof/>
                <w:sz w:val="20"/>
                <w:szCs w:val="20"/>
                <w:lang w:eastAsia="ja-JP"/>
              </w:rPr>
            </w:pPr>
            <w:r w:rsidRPr="007600EF">
              <w:rPr>
                <w:sz w:val="20"/>
                <w:szCs w:val="20"/>
              </w:rPr>
              <w:t>-</w:t>
            </w:r>
            <w:r w:rsidRPr="007600EF">
              <w:rPr>
                <w:sz w:val="20"/>
                <w:szCs w:val="20"/>
              </w:rPr>
              <w:tab/>
            </w:r>
            <w:r w:rsidRPr="007600EF">
              <w:rPr>
                <w:noProof/>
                <w:sz w:val="20"/>
                <w:szCs w:val="20"/>
                <w:lang w:eastAsia="ja-JP"/>
              </w:rPr>
              <w:t>RAN4#94  should decides to take the below options:</w:t>
            </w:r>
          </w:p>
          <w:p w14:paraId="0DA88A1A" w14:textId="3AD05719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>Alt1: Enhance spherical coverage requirements</w:t>
            </w:r>
          </w:p>
          <w:p w14:paraId="15C6D287" w14:textId="65AA1AF8" w:rsidR="007600EF" w:rsidRPr="007600EF" w:rsidRDefault="007600EF" w:rsidP="00057920">
            <w:pPr>
              <w:pStyle w:val="B3"/>
              <w:spacing w:after="0"/>
            </w:pPr>
            <w:r w:rsidRPr="007600EF">
              <w:t>-</w:t>
            </w:r>
            <w:r w:rsidRPr="007600EF">
              <w:tab/>
              <w:t>Option1: Enhance %-tile for EIRP spherical coverage value[2][3][5]</w:t>
            </w:r>
          </w:p>
          <w:p w14:paraId="078738AC" w14:textId="49D98179" w:rsidR="007600EF" w:rsidRPr="007600EF" w:rsidRDefault="007600EF" w:rsidP="00057920">
            <w:pPr>
              <w:pStyle w:val="B3"/>
              <w:spacing w:after="0"/>
            </w:pPr>
            <w:r w:rsidRPr="007600EF">
              <w:t>-</w:t>
            </w:r>
            <w:r w:rsidRPr="007600EF">
              <w:tab/>
              <w:t>Option2: Enhance dBm value for 50%-tile of EIRP spherical coverage value[6]</w:t>
            </w:r>
          </w:p>
          <w:p w14:paraId="6995D7BA" w14:textId="3848CF95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>Alt2: Introduce the new power class for handheld UE[4]</w:t>
            </w:r>
          </w:p>
          <w:p w14:paraId="3481F215" w14:textId="5C504BB0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 xml:space="preserve">Other options are not precluded </w:t>
            </w:r>
          </w:p>
          <w:p w14:paraId="1D0C51E1" w14:textId="0F74807F" w:rsidR="006D601F" w:rsidRPr="006D601F" w:rsidRDefault="007600EF" w:rsidP="00057920">
            <w:pPr>
              <w:pStyle w:val="B1"/>
              <w:spacing w:after="0"/>
              <w:rPr>
                <w:noProof/>
                <w:lang w:eastAsia="ja-JP"/>
              </w:rPr>
            </w:pPr>
            <w:r w:rsidRPr="007600EF">
              <w:rPr>
                <w:sz w:val="20"/>
                <w:szCs w:val="20"/>
              </w:rPr>
              <w:t>-</w:t>
            </w:r>
            <w:r w:rsidRPr="007600EF">
              <w:rPr>
                <w:sz w:val="20"/>
                <w:szCs w:val="20"/>
              </w:rPr>
              <w:tab/>
            </w:r>
            <w:r w:rsidRPr="007600EF">
              <w:rPr>
                <w:noProof/>
                <w:sz w:val="20"/>
                <w:szCs w:val="20"/>
                <w:lang w:eastAsia="ja-JP"/>
              </w:rPr>
              <w:t>Evaluation of feasible studies will be captured in TR 38.831 in RAN4#94.</w:t>
            </w:r>
          </w:p>
        </w:tc>
      </w:tr>
    </w:tbl>
    <w:p w14:paraId="3BCC99A1" w14:textId="331A4ACF" w:rsidR="006D601F" w:rsidRDefault="006D601F" w:rsidP="00244940">
      <w:pPr>
        <w:rPr>
          <w:lang w:val="en-GB"/>
        </w:rPr>
      </w:pPr>
    </w:p>
    <w:p w14:paraId="12B4BA00" w14:textId="5B9E73D0" w:rsidR="006D601F" w:rsidRDefault="009E56A5" w:rsidP="00244940">
      <w:pPr>
        <w:rPr>
          <w:lang w:val="en-GB"/>
        </w:rPr>
      </w:pPr>
      <w:r>
        <w:rPr>
          <w:lang w:val="en-GB"/>
        </w:rPr>
        <w:t>This contribution shares our views on the topic.</w:t>
      </w:r>
    </w:p>
    <w:p w14:paraId="6CFF5CC9" w14:textId="6E75D7D7" w:rsidR="00244940" w:rsidRPr="00244940" w:rsidRDefault="00244940" w:rsidP="00244940">
      <w:pPr>
        <w:pStyle w:val="Heading1"/>
      </w:pPr>
      <w:r>
        <w:t>2</w:t>
      </w:r>
      <w:r>
        <w:tab/>
        <w:t xml:space="preserve">Discussion </w:t>
      </w:r>
    </w:p>
    <w:p w14:paraId="144FA1D6" w14:textId="4766703C" w:rsidR="004F65EC" w:rsidRDefault="00857D3F" w:rsidP="00D27EF9">
      <w:pPr>
        <w:rPr>
          <w:lang w:val="en-GB"/>
        </w:rPr>
      </w:pPr>
      <w:r>
        <w:t xml:space="preserve">Considering Alt1 in the way forward, we </w:t>
      </w:r>
      <w:r w:rsidR="00837832">
        <w:t xml:space="preserve">observe that the impact of this proposal is to make an FR2 power class requirement release-dependent.  In our understanding, there is no precedent in 3GPP </w:t>
      </w:r>
      <w:r w:rsidR="00837832" w:rsidRPr="00837832">
        <w:t>for a power class requirement changing values from one release to another</w:t>
      </w:r>
      <w:r w:rsidR="00837832">
        <w:t xml:space="preserve">.  Quite the opposite, power class requirements have traditionally remained release-independent.  </w:t>
      </w:r>
      <w:r w:rsidR="00837832" w:rsidRPr="00837832">
        <w:t>Even if only spherical coverage values or percentiles are enhanced, this still translates to a new design requirement for the UE.</w:t>
      </w:r>
      <w:r w:rsidR="00837832">
        <w:t xml:space="preserve"> </w:t>
      </w:r>
    </w:p>
    <w:p w14:paraId="3FD69F90" w14:textId="77777777" w:rsidR="004F65EC" w:rsidRPr="00F270AF" w:rsidRDefault="004F65EC" w:rsidP="00D27EF9">
      <w:pPr>
        <w:rPr>
          <w:lang w:val="en-GB"/>
        </w:rPr>
      </w:pPr>
    </w:p>
    <w:p w14:paraId="01BED9FE" w14:textId="2773B6DE" w:rsidR="00F145F8" w:rsidRDefault="00762811" w:rsidP="00F270AF">
      <w:pPr>
        <w:pStyle w:val="Proposal"/>
      </w:pPr>
      <w:bookmarkStart w:id="2" w:name="_Toc20816915"/>
      <w:bookmarkStart w:id="3" w:name="_Toc20817384"/>
      <w:bookmarkStart w:id="4" w:name="_Toc20818480"/>
      <w:bookmarkStart w:id="5" w:name="_Toc20818486"/>
      <w:bookmarkStart w:id="6" w:name="_Toc20818517"/>
      <w:bookmarkStart w:id="7" w:name="_Toc20818541"/>
      <w:bookmarkStart w:id="8" w:name="_Toc20818551"/>
      <w:bookmarkStart w:id="9" w:name="_Toc20818595"/>
      <w:bookmarkStart w:id="10" w:name="_Toc20818633"/>
      <w:bookmarkStart w:id="11" w:name="_Toc20871522"/>
      <w:bookmarkStart w:id="12" w:name="_Toc23750738"/>
      <w:bookmarkStart w:id="13" w:name="_Toc23751359"/>
      <w:bookmarkStart w:id="14" w:name="_Toc23753257"/>
      <w:bookmarkStart w:id="15" w:name="_Toc23753888"/>
      <w:bookmarkStart w:id="16" w:name="_Toc23768470"/>
      <w:bookmarkStart w:id="17" w:name="_Toc23773676"/>
      <w:bookmarkStart w:id="18" w:name="_Toc23773711"/>
      <w:bookmarkStart w:id="19" w:name="_Toc23773716"/>
      <w:bookmarkStart w:id="20" w:name="_Toc32277753"/>
      <w:bookmarkStart w:id="21" w:name="_Toc32277867"/>
      <w:bookmarkStart w:id="22" w:name="_Toc32278405"/>
      <w:bookmarkStart w:id="23" w:name="_Toc32278487"/>
      <w:bookmarkStart w:id="24" w:name="_Toc32279003"/>
      <w:bookmarkStart w:id="25" w:name="_Toc32279250"/>
      <w:bookmarkStart w:id="26" w:name="_Toc32325244"/>
      <w:bookmarkStart w:id="27" w:name="_Toc32369327"/>
      <w:bookmarkStart w:id="28" w:name="_Toc32370184"/>
      <w:r>
        <w:t xml:space="preserve">Proposal </w:t>
      </w:r>
      <w:r w:rsidR="0035296E">
        <w:t>1</w:t>
      </w:r>
      <w:r>
        <w:t>:</w:t>
      </w:r>
      <w: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837832">
        <w:t xml:space="preserve">Any change </w:t>
      </w:r>
      <w:r w:rsidR="00B74136">
        <w:t xml:space="preserve">to </w:t>
      </w:r>
      <w:r w:rsidR="00837832">
        <w:t xml:space="preserve">the %-tile value or dBm value of the EIRP spherical coverage requirement for </w:t>
      </w:r>
      <w:r w:rsidR="0074171A">
        <w:t>an already defined Rel-15 power class</w:t>
      </w:r>
      <w:r w:rsidR="00837832">
        <w:t xml:space="preserve"> in any </w:t>
      </w:r>
      <w:r w:rsidR="0074171A">
        <w:t xml:space="preserve">subsequent </w:t>
      </w:r>
      <w:r w:rsidR="00837832">
        <w:t>release violates the assumption on power class release independence and shall be precluded.</w:t>
      </w:r>
      <w:bookmarkEnd w:id="28"/>
    </w:p>
    <w:p w14:paraId="0E5C5FE4" w14:textId="08D76055" w:rsidR="0074171A" w:rsidRDefault="0074171A" w:rsidP="00837832">
      <w:r>
        <w:t xml:space="preserve">In our general understanding, Alt2 is the only </w:t>
      </w:r>
      <w:r w:rsidRPr="0074171A">
        <w:t xml:space="preserve">way to introduce a power class with enhanced spherical coverage requirements. In our understanding, this is 3GPP </w:t>
      </w:r>
      <w:r>
        <w:t>“</w:t>
      </w:r>
      <w:r w:rsidRPr="0074171A">
        <w:t xml:space="preserve">business as usual” and should </w:t>
      </w:r>
      <w:r w:rsidRPr="0074171A">
        <w:lastRenderedPageBreak/>
        <w:t>be discussed based on consensus among companies at the RAN Plenary level. Our view is that such an effort should be well motivated by the industry, and we generally don’t see a strong need to introduce another power class for handheld FR2 UEs at this time.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22AC6BB" w14:textId="3FB624F5" w:rsidR="00CA76D3" w:rsidRDefault="0035296E" w:rsidP="00CA76D3">
      <w:r>
        <w:t xml:space="preserve">This contribution has </w:t>
      </w:r>
      <w:r w:rsidR="006C2531">
        <w:t>shared our views on the outlook for PC3 spherical coverage requirements in Rel-16 and beyond and made the following proposal</w:t>
      </w:r>
      <w:r w:rsidR="00A61086">
        <w:t>:</w:t>
      </w:r>
    </w:p>
    <w:p w14:paraId="128C9969" w14:textId="77777777" w:rsidR="00CA76D3" w:rsidRDefault="00CA76D3" w:rsidP="00CA76D3"/>
    <w:p w14:paraId="0C3B8E61" w14:textId="77777777" w:rsidR="003A542A" w:rsidRDefault="0035296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3A542A">
        <w:rPr>
          <w:noProof/>
        </w:rPr>
        <w:t>Proposal 1:</w:t>
      </w:r>
      <w:r w:rsidR="003A542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="003A542A">
        <w:rPr>
          <w:noProof/>
        </w:rPr>
        <w:t>Any change to the %-tile value or dBm value of the EIRP spherical coverage requirement for an already defined Rel-15 power class in any subsequent release violates the assumption on power class release independence and shall be precluded.</w:t>
      </w:r>
    </w:p>
    <w:p w14:paraId="05CC6F0A" w14:textId="33D1A1DE" w:rsidR="005E69AE" w:rsidRPr="0035296E" w:rsidRDefault="0035296E" w:rsidP="00714EA5">
      <w:pPr>
        <w:pStyle w:val="TOC1"/>
        <w:ind w:left="0" w:firstLine="0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/>
        </w:rPr>
      </w:pPr>
      <w:r>
        <w:rPr>
          <w:b w:val="0"/>
          <w:bCs w:val="0"/>
        </w:rPr>
        <w:fldChar w:fldCharType="end"/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21B98901" w14:textId="0E03BEBE" w:rsidR="009E56A5" w:rsidRDefault="009E56A5" w:rsidP="00CD651B">
      <w:pPr>
        <w:pStyle w:val="EX"/>
        <w:numPr>
          <w:ilvl w:val="0"/>
          <w:numId w:val="5"/>
        </w:numPr>
      </w:pPr>
      <w:bookmarkStart w:id="29" w:name="_Ref32369735"/>
      <w:r w:rsidRPr="009E56A5">
        <w:t>RP-192653</w:t>
      </w:r>
      <w:r>
        <w:t>, “</w:t>
      </w:r>
      <w:r w:rsidRPr="009E56A5">
        <w:t>Revised WID on NR RF Requirement Enhancements for FR2</w:t>
      </w:r>
      <w:r>
        <w:t xml:space="preserve">,” </w:t>
      </w:r>
      <w:r w:rsidRPr="009E56A5">
        <w:t>Nokia, Nokia Shanghai Bell</w:t>
      </w:r>
      <w:r>
        <w:t>, 3GPP RAN #86, December 2019</w:t>
      </w:r>
      <w:bookmarkEnd w:id="29"/>
    </w:p>
    <w:p w14:paraId="729AABF3" w14:textId="3CBC5FF2" w:rsidR="00F270AF" w:rsidRDefault="007600EF" w:rsidP="00CD651B">
      <w:pPr>
        <w:pStyle w:val="EX"/>
        <w:numPr>
          <w:ilvl w:val="0"/>
          <w:numId w:val="5"/>
        </w:numPr>
      </w:pPr>
      <w:bookmarkStart w:id="30" w:name="_Ref32369791"/>
      <w:r w:rsidRPr="007600EF">
        <w:t>R4-1916184</w:t>
      </w:r>
      <w:r>
        <w:t>, “</w:t>
      </w:r>
      <w:r w:rsidRPr="007600EF">
        <w:t>WF for spherical coverage enhancement</w:t>
      </w:r>
      <w:r>
        <w:t xml:space="preserve"> </w:t>
      </w:r>
      <w:r w:rsidRPr="007600EF">
        <w:t>for FR2</w:t>
      </w:r>
      <w:r>
        <w:t xml:space="preserve">,” </w:t>
      </w:r>
      <w:r w:rsidRPr="007600EF">
        <w:t>NTT DOCOMO, Verizon, KDDI, AT&amp;T, SoftBank Corp., T-Mobile USA Inc., CHTTL, Vodafone, Nokia</w:t>
      </w:r>
      <w:r>
        <w:t>, 3GPP RAN4 #93, November 2019</w:t>
      </w:r>
      <w:bookmarkEnd w:id="30"/>
    </w:p>
    <w:bookmarkEnd w:id="0"/>
    <w:p w14:paraId="2DB4EFE6" w14:textId="54D381C9" w:rsidR="00E2539D" w:rsidRDefault="00E2539D"/>
    <w:sectPr w:rsidR="00E2539D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AF7FD" w14:textId="77777777" w:rsidR="00453F3C" w:rsidRDefault="00453F3C">
      <w:r>
        <w:separator/>
      </w:r>
    </w:p>
  </w:endnote>
  <w:endnote w:type="continuationSeparator" w:id="0">
    <w:p w14:paraId="7E8FC0DB" w14:textId="77777777" w:rsidR="00453F3C" w:rsidRDefault="0045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7BD8E" w14:textId="77777777" w:rsidR="00453F3C" w:rsidRDefault="00453F3C">
      <w:r>
        <w:separator/>
      </w:r>
    </w:p>
  </w:footnote>
  <w:footnote w:type="continuationSeparator" w:id="0">
    <w:p w14:paraId="4C429ABF" w14:textId="77777777" w:rsidR="00453F3C" w:rsidRDefault="00453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55CF0"/>
    <w:multiLevelType w:val="hybridMultilevel"/>
    <w:tmpl w:val="3CFAC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3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4C"/>
    <w:rsid w:val="0000441A"/>
    <w:rsid w:val="00033397"/>
    <w:rsid w:val="00040095"/>
    <w:rsid w:val="00042CE7"/>
    <w:rsid w:val="00044D7C"/>
    <w:rsid w:val="00045BD2"/>
    <w:rsid w:val="00051834"/>
    <w:rsid w:val="00054A22"/>
    <w:rsid w:val="00057920"/>
    <w:rsid w:val="00057B9D"/>
    <w:rsid w:val="00062023"/>
    <w:rsid w:val="000655A6"/>
    <w:rsid w:val="00080512"/>
    <w:rsid w:val="000A365D"/>
    <w:rsid w:val="000A68F3"/>
    <w:rsid w:val="000C47C3"/>
    <w:rsid w:val="000D3143"/>
    <w:rsid w:val="000D58AB"/>
    <w:rsid w:val="000F3730"/>
    <w:rsid w:val="00104BC6"/>
    <w:rsid w:val="001133A5"/>
    <w:rsid w:val="00114E2C"/>
    <w:rsid w:val="0011763D"/>
    <w:rsid w:val="00125A30"/>
    <w:rsid w:val="00133525"/>
    <w:rsid w:val="00150B37"/>
    <w:rsid w:val="00184673"/>
    <w:rsid w:val="0019395F"/>
    <w:rsid w:val="001952DB"/>
    <w:rsid w:val="001A4C42"/>
    <w:rsid w:val="001B1D9C"/>
    <w:rsid w:val="001B1F24"/>
    <w:rsid w:val="001C21C3"/>
    <w:rsid w:val="001C56EA"/>
    <w:rsid w:val="001D02C2"/>
    <w:rsid w:val="001D27FD"/>
    <w:rsid w:val="001E0A52"/>
    <w:rsid w:val="001F0C1D"/>
    <w:rsid w:val="001F1132"/>
    <w:rsid w:val="001F168B"/>
    <w:rsid w:val="001F7234"/>
    <w:rsid w:val="00200662"/>
    <w:rsid w:val="00202FAE"/>
    <w:rsid w:val="002202CE"/>
    <w:rsid w:val="00230FB1"/>
    <w:rsid w:val="002347A2"/>
    <w:rsid w:val="00244940"/>
    <w:rsid w:val="00247926"/>
    <w:rsid w:val="00261491"/>
    <w:rsid w:val="002675F0"/>
    <w:rsid w:val="0027462C"/>
    <w:rsid w:val="00276EE4"/>
    <w:rsid w:val="0028110F"/>
    <w:rsid w:val="00290BFF"/>
    <w:rsid w:val="002B6339"/>
    <w:rsid w:val="002D525C"/>
    <w:rsid w:val="002E00EE"/>
    <w:rsid w:val="002E1608"/>
    <w:rsid w:val="003172DC"/>
    <w:rsid w:val="00337522"/>
    <w:rsid w:val="0034052F"/>
    <w:rsid w:val="0035296E"/>
    <w:rsid w:val="0035462D"/>
    <w:rsid w:val="00363EC4"/>
    <w:rsid w:val="00364F2F"/>
    <w:rsid w:val="003765B8"/>
    <w:rsid w:val="003A0483"/>
    <w:rsid w:val="003A542A"/>
    <w:rsid w:val="003C3971"/>
    <w:rsid w:val="003D2481"/>
    <w:rsid w:val="003E62EA"/>
    <w:rsid w:val="003E7753"/>
    <w:rsid w:val="00413E64"/>
    <w:rsid w:val="00423334"/>
    <w:rsid w:val="004345EC"/>
    <w:rsid w:val="00453F3C"/>
    <w:rsid w:val="00462B29"/>
    <w:rsid w:val="004826A9"/>
    <w:rsid w:val="004837EB"/>
    <w:rsid w:val="004C1601"/>
    <w:rsid w:val="004D3578"/>
    <w:rsid w:val="004E213A"/>
    <w:rsid w:val="004E4AA4"/>
    <w:rsid w:val="004F0988"/>
    <w:rsid w:val="004F3340"/>
    <w:rsid w:val="004F3E3D"/>
    <w:rsid w:val="004F65EC"/>
    <w:rsid w:val="00515EDE"/>
    <w:rsid w:val="00532179"/>
    <w:rsid w:val="0053388B"/>
    <w:rsid w:val="00535773"/>
    <w:rsid w:val="00543E6C"/>
    <w:rsid w:val="00564A7A"/>
    <w:rsid w:val="00565087"/>
    <w:rsid w:val="00572E14"/>
    <w:rsid w:val="005973BE"/>
    <w:rsid w:val="005A5986"/>
    <w:rsid w:val="005B0263"/>
    <w:rsid w:val="005D078E"/>
    <w:rsid w:val="005D113A"/>
    <w:rsid w:val="005D2E01"/>
    <w:rsid w:val="005D7526"/>
    <w:rsid w:val="005E69AE"/>
    <w:rsid w:val="00602AEA"/>
    <w:rsid w:val="006047CB"/>
    <w:rsid w:val="00607E3C"/>
    <w:rsid w:val="00614FDF"/>
    <w:rsid w:val="006246A7"/>
    <w:rsid w:val="00624D84"/>
    <w:rsid w:val="0062595A"/>
    <w:rsid w:val="0063543D"/>
    <w:rsid w:val="00647114"/>
    <w:rsid w:val="0065154B"/>
    <w:rsid w:val="00667B04"/>
    <w:rsid w:val="006973C9"/>
    <w:rsid w:val="006A323F"/>
    <w:rsid w:val="006B30D0"/>
    <w:rsid w:val="006C2531"/>
    <w:rsid w:val="006C3D95"/>
    <w:rsid w:val="006C6CEF"/>
    <w:rsid w:val="006D601F"/>
    <w:rsid w:val="006E5C86"/>
    <w:rsid w:val="00713C44"/>
    <w:rsid w:val="00714EA5"/>
    <w:rsid w:val="00734A5B"/>
    <w:rsid w:val="0074026F"/>
    <w:rsid w:val="0074171A"/>
    <w:rsid w:val="007429F6"/>
    <w:rsid w:val="00744E76"/>
    <w:rsid w:val="007504E2"/>
    <w:rsid w:val="00752198"/>
    <w:rsid w:val="00753881"/>
    <w:rsid w:val="007600EF"/>
    <w:rsid w:val="00762811"/>
    <w:rsid w:val="00774DA4"/>
    <w:rsid w:val="00781F0F"/>
    <w:rsid w:val="007A2935"/>
    <w:rsid w:val="007A49DC"/>
    <w:rsid w:val="007B1606"/>
    <w:rsid w:val="007B247B"/>
    <w:rsid w:val="007B600E"/>
    <w:rsid w:val="007B670C"/>
    <w:rsid w:val="007D7531"/>
    <w:rsid w:val="007E1636"/>
    <w:rsid w:val="007E358E"/>
    <w:rsid w:val="007F0F4A"/>
    <w:rsid w:val="008028A4"/>
    <w:rsid w:val="00816517"/>
    <w:rsid w:val="00820B25"/>
    <w:rsid w:val="00830747"/>
    <w:rsid w:val="00837832"/>
    <w:rsid w:val="00857D3F"/>
    <w:rsid w:val="008768CA"/>
    <w:rsid w:val="00892A97"/>
    <w:rsid w:val="008B3566"/>
    <w:rsid w:val="008C384C"/>
    <w:rsid w:val="008E7986"/>
    <w:rsid w:val="008F5D65"/>
    <w:rsid w:val="00900119"/>
    <w:rsid w:val="0090271F"/>
    <w:rsid w:val="00902E23"/>
    <w:rsid w:val="00910CDE"/>
    <w:rsid w:val="009114D7"/>
    <w:rsid w:val="0091348E"/>
    <w:rsid w:val="00917CCB"/>
    <w:rsid w:val="00930E92"/>
    <w:rsid w:val="00942EC2"/>
    <w:rsid w:val="009B1790"/>
    <w:rsid w:val="009B5D22"/>
    <w:rsid w:val="009E56A5"/>
    <w:rsid w:val="009F37B7"/>
    <w:rsid w:val="009F5E43"/>
    <w:rsid w:val="009F6942"/>
    <w:rsid w:val="00A10F02"/>
    <w:rsid w:val="00A1288A"/>
    <w:rsid w:val="00A164B4"/>
    <w:rsid w:val="00A26956"/>
    <w:rsid w:val="00A35167"/>
    <w:rsid w:val="00A53724"/>
    <w:rsid w:val="00A61086"/>
    <w:rsid w:val="00A73129"/>
    <w:rsid w:val="00A82346"/>
    <w:rsid w:val="00A92BA1"/>
    <w:rsid w:val="00AA25B9"/>
    <w:rsid w:val="00AB702D"/>
    <w:rsid w:val="00AC6BC6"/>
    <w:rsid w:val="00AE3797"/>
    <w:rsid w:val="00B02A63"/>
    <w:rsid w:val="00B070F5"/>
    <w:rsid w:val="00B1491E"/>
    <w:rsid w:val="00B15449"/>
    <w:rsid w:val="00B322A5"/>
    <w:rsid w:val="00B407FA"/>
    <w:rsid w:val="00B45A10"/>
    <w:rsid w:val="00B57BD6"/>
    <w:rsid w:val="00B60EF4"/>
    <w:rsid w:val="00B74136"/>
    <w:rsid w:val="00B7575B"/>
    <w:rsid w:val="00B83A1B"/>
    <w:rsid w:val="00B93086"/>
    <w:rsid w:val="00B96E14"/>
    <w:rsid w:val="00BA19ED"/>
    <w:rsid w:val="00BA300B"/>
    <w:rsid w:val="00BA4B8D"/>
    <w:rsid w:val="00BC0F7D"/>
    <w:rsid w:val="00BC5D15"/>
    <w:rsid w:val="00BD703A"/>
    <w:rsid w:val="00BE3255"/>
    <w:rsid w:val="00BF128E"/>
    <w:rsid w:val="00BF3168"/>
    <w:rsid w:val="00C1496A"/>
    <w:rsid w:val="00C24043"/>
    <w:rsid w:val="00C2756E"/>
    <w:rsid w:val="00C33079"/>
    <w:rsid w:val="00C36C3C"/>
    <w:rsid w:val="00C40AE9"/>
    <w:rsid w:val="00C45231"/>
    <w:rsid w:val="00C72833"/>
    <w:rsid w:val="00C80CBC"/>
    <w:rsid w:val="00C80F1D"/>
    <w:rsid w:val="00C93F40"/>
    <w:rsid w:val="00C95C80"/>
    <w:rsid w:val="00CA0623"/>
    <w:rsid w:val="00CA3D0C"/>
    <w:rsid w:val="00CA52C9"/>
    <w:rsid w:val="00CA76D3"/>
    <w:rsid w:val="00CD651B"/>
    <w:rsid w:val="00CF20E3"/>
    <w:rsid w:val="00CF2841"/>
    <w:rsid w:val="00D27EF9"/>
    <w:rsid w:val="00D309CC"/>
    <w:rsid w:val="00D326E6"/>
    <w:rsid w:val="00D3306F"/>
    <w:rsid w:val="00D46431"/>
    <w:rsid w:val="00D56A52"/>
    <w:rsid w:val="00D57972"/>
    <w:rsid w:val="00D675A9"/>
    <w:rsid w:val="00D738D6"/>
    <w:rsid w:val="00D75169"/>
    <w:rsid w:val="00D755EB"/>
    <w:rsid w:val="00D87E00"/>
    <w:rsid w:val="00D9134D"/>
    <w:rsid w:val="00DA7A03"/>
    <w:rsid w:val="00DB1818"/>
    <w:rsid w:val="00DC309B"/>
    <w:rsid w:val="00DC4DA2"/>
    <w:rsid w:val="00DC64F5"/>
    <w:rsid w:val="00DD4C17"/>
    <w:rsid w:val="00DE439B"/>
    <w:rsid w:val="00DF2B1F"/>
    <w:rsid w:val="00DF4EB8"/>
    <w:rsid w:val="00DF6189"/>
    <w:rsid w:val="00DF62CD"/>
    <w:rsid w:val="00E16509"/>
    <w:rsid w:val="00E16F56"/>
    <w:rsid w:val="00E2539D"/>
    <w:rsid w:val="00E44582"/>
    <w:rsid w:val="00E52814"/>
    <w:rsid w:val="00E72324"/>
    <w:rsid w:val="00E72ABE"/>
    <w:rsid w:val="00E76592"/>
    <w:rsid w:val="00E77645"/>
    <w:rsid w:val="00E84623"/>
    <w:rsid w:val="00E85B4F"/>
    <w:rsid w:val="00EC4A25"/>
    <w:rsid w:val="00EE5AA7"/>
    <w:rsid w:val="00EE7CDF"/>
    <w:rsid w:val="00EF3FEB"/>
    <w:rsid w:val="00F025A2"/>
    <w:rsid w:val="00F04712"/>
    <w:rsid w:val="00F10FE8"/>
    <w:rsid w:val="00F145F8"/>
    <w:rsid w:val="00F21311"/>
    <w:rsid w:val="00F22EC7"/>
    <w:rsid w:val="00F270AF"/>
    <w:rsid w:val="00F325C8"/>
    <w:rsid w:val="00F55548"/>
    <w:rsid w:val="00F62AEB"/>
    <w:rsid w:val="00F653B8"/>
    <w:rsid w:val="00F70647"/>
    <w:rsid w:val="00F8596B"/>
    <w:rsid w:val="00FA1266"/>
    <w:rsid w:val="00FA41D2"/>
    <w:rsid w:val="00FC1192"/>
    <w:rsid w:val="00FD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0FE8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rsid w:val="00261491"/>
    <w:pPr>
      <w:spacing w:after="180"/>
      <w:ind w:left="568" w:hanging="284"/>
    </w:pPr>
    <w:rPr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B407FA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nhideWhenUsed/>
    <w:qFormat/>
    <w:rsid w:val="00150B37"/>
    <w:pPr>
      <w:spacing w:after="200"/>
    </w:pPr>
    <w:rPr>
      <w:i/>
      <w:iCs/>
      <w:color w:val="44546A" w:themeColor="text2"/>
      <w:sz w:val="18"/>
      <w:szCs w:val="18"/>
      <w:lang w:val="en-GB"/>
    </w:rPr>
  </w:style>
  <w:style w:type="character" w:customStyle="1" w:styleId="TACChar">
    <w:name w:val="TAC Char"/>
    <w:link w:val="TAC"/>
    <w:qFormat/>
    <w:rsid w:val="001952D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1952DB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1952DB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9F6942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9F6942"/>
    <w:rPr>
      <w:rFonts w:ascii="Arial" w:hAnsi="Arial"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24494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8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5724A-D8E5-8949-8646-505F42222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51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3646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31</cp:revision>
  <cp:lastPrinted>2019-02-25T14:05:00Z</cp:lastPrinted>
  <dcterms:created xsi:type="dcterms:W3CDTF">2020-02-11T09:34:00Z</dcterms:created>
  <dcterms:modified xsi:type="dcterms:W3CDTF">2020-05-14T18:42:00Z</dcterms:modified>
  <cp:category/>
</cp:coreProperties>
</file>